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rFonts w:hint="eastAsia" w:ascii="黑体" w:hAnsi="黑体" w:eastAsia="黑体" w:cs="Times New Roman"/>
          <w:sz w:val="44"/>
          <w:szCs w:val="24"/>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44"/>
          <w:szCs w:val="44"/>
        </w:rPr>
      </w:pPr>
      <w:r>
        <w:rPr>
          <w:rFonts w:hint="eastAsia"/>
          <w:b/>
          <w:sz w:val="44"/>
          <w:szCs w:val="44"/>
        </w:rPr>
        <w:t>武术擂台赛-视觉挑战B赛项</w:t>
      </w:r>
    </w:p>
    <w:p>
      <w:pPr>
        <w:jc w:val="center"/>
        <w:rPr>
          <w:b/>
          <w:sz w:val="36"/>
          <w:szCs w:val="36"/>
        </w:rPr>
      </w:pPr>
      <w:r>
        <w:rPr>
          <w:b/>
          <w:sz w:val="36"/>
          <w:szCs w:val="36"/>
        </w:rPr>
        <w:t>参赛</w:t>
      </w:r>
      <w:r>
        <w:rPr>
          <w:rFonts w:hint="eastAsia"/>
          <w:b/>
          <w:sz w:val="36"/>
          <w:szCs w:val="36"/>
        </w:rPr>
        <w:t>队伍</w:t>
      </w:r>
      <w:r>
        <w:rPr>
          <w:b/>
          <w:sz w:val="36"/>
          <w:szCs w:val="36"/>
        </w:rPr>
        <w:t>资格</w:t>
      </w:r>
      <w:r>
        <w:rPr>
          <w:rFonts w:hint="eastAsia"/>
          <w:b/>
          <w:sz w:val="36"/>
          <w:szCs w:val="36"/>
        </w:rPr>
        <w:t>认证模板</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bookmarkStart w:id="10" w:name="_GoBack"/>
      <w:bookmarkEnd w:id="10"/>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20中国机器人大赛武术擂台赛技术委员会</w:t>
      </w:r>
    </w:p>
    <w:p>
      <w:pPr>
        <w:jc w:val="center"/>
        <w:rPr>
          <w:rFonts w:hint="eastAsia" w:ascii="黑体" w:hAnsi="黑体" w:eastAsia="黑体"/>
          <w:sz w:val="36"/>
          <w:szCs w:val="36"/>
        </w:rPr>
      </w:pPr>
      <w:r>
        <w:rPr>
          <w:rFonts w:hint="eastAsia" w:ascii="黑体" w:hAnsi="黑体" w:eastAsia="黑体"/>
          <w:sz w:val="36"/>
          <w:szCs w:val="36"/>
        </w:rPr>
        <w:t>2020年9月15日</w:t>
      </w:r>
    </w:p>
    <w:p>
      <w:pPr>
        <w:jc w:val="center"/>
        <w:rPr>
          <w:b/>
          <w:sz w:val="36"/>
          <w:szCs w:val="36"/>
        </w:rPr>
      </w:pPr>
    </w:p>
    <w:p>
      <w:pPr>
        <w:pStyle w:val="3"/>
      </w:pPr>
      <w:bookmarkStart w:id="0" w:name="_Toc10920496"/>
      <w:bookmarkStart w:id="1" w:name="_Toc10908287"/>
      <w:bookmarkStart w:id="2" w:name="_Toc485767136"/>
      <w:bookmarkStart w:id="3" w:name="_Toc514094011"/>
      <w:r>
        <w:t>1</w:t>
      </w:r>
      <w:r>
        <w:rPr>
          <w:rFonts w:hint="eastAsia"/>
        </w:rPr>
        <w:t xml:space="preserve"> </w:t>
      </w:r>
      <w:r>
        <w:t>参赛队伍要求</w:t>
      </w:r>
      <w:bookmarkEnd w:id="0"/>
      <w:bookmarkEnd w:id="1"/>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
          <w:color w:val="FF0000"/>
          <w:sz w:val="24"/>
          <w:szCs w:val="24"/>
          <w:lang w:val="en-US" w:eastAsia="zh-Hans"/>
        </w:rPr>
        <w:t>参赛队伍要求以组委会后续统一规定为准</w:t>
      </w:r>
      <w:r>
        <w:rPr>
          <w:rFonts w:hint="eastAsia" w:ascii="Times New Roman" w:hAnsi="Times New Roman" w:cs="Times New Roman"/>
          <w:b/>
          <w:color w:val="FF0000"/>
          <w:sz w:val="24"/>
          <w:szCs w:val="24"/>
        </w:rPr>
        <w:t>。</w:t>
      </w:r>
    </w:p>
    <w:p>
      <w:pPr>
        <w:pStyle w:val="3"/>
      </w:pPr>
      <w:bookmarkStart w:id="4" w:name="_Toc10908288"/>
      <w:bookmarkStart w:id="5" w:name="_Toc10920497"/>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机器人数量不限制，但只能有1台机器人上场比赛。</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机器人不得使用带有</w:t>
      </w:r>
      <w:r>
        <w:rPr>
          <w:rFonts w:ascii="Times New Roman" w:hAnsi="Times New Roman" w:cs="Times New Roman"/>
          <w:bCs/>
          <w:sz w:val="24"/>
          <w:szCs w:val="24"/>
        </w:rPr>
        <w:t>“</w:t>
      </w:r>
      <w:r>
        <w:rPr>
          <w:rFonts w:hint="eastAsia" w:ascii="Times New Roman" w:hAnsi="Times New Roman" w:cs="Times New Roman"/>
          <w:bCs/>
          <w:sz w:val="24"/>
          <w:szCs w:val="24"/>
        </w:rPr>
        <w:t>发射</w:t>
      </w:r>
      <w:r>
        <w:rPr>
          <w:rFonts w:ascii="Times New Roman" w:hAnsi="Times New Roman" w:cs="Times New Roman"/>
          <w:bCs/>
          <w:sz w:val="24"/>
          <w:szCs w:val="24"/>
        </w:rPr>
        <w:t>”</w:t>
      </w:r>
      <w:r>
        <w:rPr>
          <w:rFonts w:hint="eastAsia" w:ascii="Times New Roman" w:hAnsi="Times New Roman" w:cs="Times New Roman"/>
          <w:bCs/>
          <w:sz w:val="24"/>
          <w:szCs w:val="24"/>
        </w:rPr>
        <w:t>或者爆炸性质的装置，例如火焰、水、干冰、</w:t>
      </w:r>
      <w:r>
        <w:rPr>
          <w:rFonts w:ascii="Times New Roman" w:hAnsi="Times New Roman" w:cs="Times New Roman"/>
          <w:bCs/>
          <w:sz w:val="24"/>
          <w:szCs w:val="24"/>
        </w:rPr>
        <w:t>BB</w:t>
      </w:r>
      <w:r>
        <w:rPr>
          <w:rFonts w:hint="eastAsia" w:ascii="Times New Roman" w:hAnsi="Times New Roman" w:cs="Times New Roman"/>
          <w:bCs/>
          <w:sz w:val="24"/>
          <w:szCs w:val="24"/>
        </w:rPr>
        <w:t>弹、钢珠、可能导致缠绕或短路的线缆、爆炸性的鞭炮等装置。</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使用可能对人类有危险的装置，例如刀刃、旋转刀片等。</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adjustRightInd w:val="0"/>
        <w:snapToGrid w:val="0"/>
        <w:spacing w:line="360" w:lineRule="auto"/>
        <w:ind w:firstLine="420"/>
        <w:jc w:val="left"/>
        <w:rPr>
          <w:rFonts w:ascii="Times New Roman" w:hAnsi="Times New Roman" w:cs="Times New Roman"/>
          <w:bCs/>
          <w:sz w:val="24"/>
          <w:szCs w:val="24"/>
        </w:rPr>
      </w:pPr>
      <w:r>
        <w:rPr>
          <w:rFonts w:ascii="Times New Roman" w:hAnsi="Times New Roman" w:cs="Times New Roman"/>
          <w:bCs/>
          <w:sz w:val="24"/>
          <w:szCs w:val="24"/>
        </w:rPr>
        <w:t>机器人</w:t>
      </w:r>
      <w:r>
        <w:rPr>
          <w:rFonts w:hint="eastAsia" w:ascii="Times New Roman" w:hAnsi="Times New Roman" w:cs="Times New Roman"/>
          <w:bCs/>
          <w:sz w:val="24"/>
          <w:szCs w:val="24"/>
        </w:rPr>
        <w:t>上必须有启动/停止按钮。</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 xml:space="preserve">机器人本体的外形尺寸长宽不超过 </w:t>
      </w:r>
      <w:r>
        <w:rPr>
          <w:rFonts w:ascii="Times New Roman" w:hAnsi="Times New Roman" w:cs="Times New Roman"/>
          <w:bCs/>
          <w:sz w:val="24"/>
          <w:szCs w:val="24"/>
        </w:rPr>
        <w:t>350</w:t>
      </w:r>
      <w:r>
        <w:rPr>
          <w:rFonts w:hint="eastAsia" w:ascii="Times New Roman" w:hAnsi="Times New Roman" w:cs="Times New Roman"/>
          <w:bCs/>
          <w:sz w:val="24"/>
          <w:szCs w:val="24"/>
        </w:rPr>
        <w:t>mm（不含显示器及支架），高度不超过</w:t>
      </w:r>
      <w:r>
        <w:rPr>
          <w:rFonts w:ascii="Times New Roman" w:hAnsi="Times New Roman" w:cs="Times New Roman"/>
          <w:bCs/>
          <w:sz w:val="24"/>
          <w:szCs w:val="24"/>
        </w:rPr>
        <w:t>400</w:t>
      </w:r>
      <w:r>
        <w:rPr>
          <w:rFonts w:hint="eastAsia" w:ascii="Times New Roman" w:hAnsi="Times New Roman" w:cs="Times New Roman"/>
          <w:bCs/>
          <w:sz w:val="24"/>
          <w:szCs w:val="24"/>
        </w:rPr>
        <w:t>mm</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w:t>
      </w:r>
      <w:r>
        <w:rPr>
          <w:rFonts w:ascii="Times New Roman" w:hAnsi="Times New Roman" w:cs="Times New Roman"/>
          <w:bCs/>
          <w:sz w:val="24"/>
          <w:szCs w:val="24"/>
        </w:rPr>
        <w:t>的重量不</w:t>
      </w:r>
      <w:r>
        <w:rPr>
          <w:rFonts w:hint="eastAsia" w:ascii="Times New Roman" w:hAnsi="Times New Roman" w:cs="Times New Roman"/>
          <w:bCs/>
          <w:sz w:val="24"/>
          <w:szCs w:val="24"/>
        </w:rPr>
        <w:t>大于</w:t>
      </w:r>
      <w:r>
        <w:rPr>
          <w:rFonts w:ascii="Times New Roman" w:hAnsi="Times New Roman" w:cs="Times New Roman"/>
          <w:bCs/>
          <w:sz w:val="24"/>
          <w:szCs w:val="24"/>
        </w:rPr>
        <w:t>5</w:t>
      </w:r>
      <w:r>
        <w:rPr>
          <w:rFonts w:hint="eastAsia" w:ascii="Times New Roman" w:hAnsi="Times New Roman" w:cs="Times New Roman"/>
          <w:bCs/>
          <w:sz w:val="24"/>
          <w:szCs w:val="24"/>
        </w:rPr>
        <w:t>KG（不含显示器及支架）。</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机器人提供动力的轮子为2个。</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2.7 本项赛事对机器人的其他特殊要求</w:t>
      </w:r>
    </w:p>
    <w:p>
      <w:pPr>
        <w:adjustRightInd w:val="0"/>
        <w:snapToGrid w:val="0"/>
        <w:spacing w:line="360" w:lineRule="auto"/>
        <w:ind w:firstLine="420"/>
        <w:jc w:val="left"/>
        <w:rPr>
          <w:rFonts w:ascii="Times New Roman" w:hAnsi="Times New Roman" w:cs="Times New Roman"/>
          <w:bCs/>
          <w:sz w:val="24"/>
          <w:szCs w:val="24"/>
        </w:rPr>
      </w:pPr>
      <w:bookmarkStart w:id="6" w:name="_Toc514094012"/>
      <w:bookmarkStart w:id="7" w:name="_Toc485767137"/>
      <w:bookmarkStart w:id="8" w:name="_Toc10920498"/>
      <w:bookmarkStart w:id="9" w:name="_Toc10908289"/>
      <w:r>
        <w:rPr>
          <w:rFonts w:hint="eastAsia" w:ascii="Times New Roman" w:hAnsi="Times New Roman" w:cs="Times New Roman"/>
          <w:bCs/>
          <w:sz w:val="24"/>
          <w:szCs w:val="24"/>
        </w:rPr>
        <w:t>1）参赛队伍主控制器使用</w:t>
      </w:r>
      <w:r>
        <w:rPr>
          <w:rFonts w:ascii="Times New Roman" w:hAnsi="Times New Roman" w:cs="Times New Roman"/>
          <w:bCs/>
          <w:sz w:val="24"/>
          <w:szCs w:val="24"/>
        </w:rPr>
        <w:t>NVIDIA®JetsonNano</w:t>
      </w:r>
      <w:r>
        <w:rPr>
          <w:rFonts w:hint="eastAsia" w:ascii="Times New Roman" w:hAnsi="Times New Roman" w:cs="Times New Roman"/>
          <w:bCs/>
          <w:sz w:val="24"/>
          <w:szCs w:val="24"/>
        </w:rPr>
        <w:t>控制器，使用统一标准和性能的传感器、动力模块、供电模块等部件。</w:t>
      </w:r>
    </w:p>
    <w:p>
      <w:pPr>
        <w:adjustRightInd w:val="0"/>
        <w:snapToGrid w:val="0"/>
        <w:spacing w:line="360" w:lineRule="auto"/>
        <w:ind w:firstLine="420"/>
        <w:jc w:val="left"/>
        <w:rPr>
          <w:rFonts w:ascii="Times New Roman" w:hAnsi="Times New Roman" w:cs="Times New Roman"/>
          <w:bCs/>
          <w:sz w:val="24"/>
          <w:szCs w:val="24"/>
        </w:rPr>
      </w:pPr>
      <w:r>
        <w:rPr>
          <w:rFonts w:hint="eastAsia" w:ascii="Times New Roman" w:hAnsi="Times New Roman" w:cs="Times New Roman"/>
          <w:bCs/>
          <w:sz w:val="24"/>
          <w:szCs w:val="24"/>
        </w:rPr>
        <w:t>2）机器人采用ROS开源操作系统，环境感知传感器只可使用激光雷达、语音阵列及摄像头。</w:t>
      </w:r>
    </w:p>
    <w:p>
      <w:pPr>
        <w:adjustRightInd w:val="0"/>
        <w:snapToGrid w:val="0"/>
        <w:spacing w:line="360" w:lineRule="auto"/>
        <w:ind w:firstLine="420"/>
        <w:jc w:val="left"/>
        <w:rPr>
          <w:rFonts w:ascii="Times New Roman" w:hAnsi="Times New Roman" w:cs="Times New Roman"/>
          <w:bCs/>
          <w:sz w:val="24"/>
          <w:szCs w:val="24"/>
        </w:rPr>
      </w:pPr>
      <w:r>
        <w:rPr>
          <w:rFonts w:ascii="Times New Roman" w:hAnsi="Times New Roman" w:cs="Times New Roman"/>
          <w:bCs/>
          <w:sz w:val="24"/>
          <w:szCs w:val="24"/>
        </w:rPr>
        <w:t>3</w:t>
      </w:r>
      <w:r>
        <w:rPr>
          <w:rFonts w:hint="eastAsia" w:ascii="Times New Roman" w:hAnsi="Times New Roman" w:cs="Times New Roman"/>
          <w:bCs/>
          <w:sz w:val="24"/>
          <w:szCs w:val="24"/>
        </w:rPr>
        <w:t>）机器人需带有声音播报装置。</w:t>
      </w:r>
    </w:p>
    <w:p>
      <w:pPr>
        <w:pStyle w:val="3"/>
      </w:pPr>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rPr>
        <w:t>资格认证材料到指定邮箱（</w:t>
      </w:r>
      <w:r>
        <w:rPr>
          <w:color w:val="000000"/>
          <w:sz w:val="24"/>
          <w:szCs w:val="24"/>
        </w:rPr>
        <w:t>liangjh@uptech-robot.com</w:t>
      </w:r>
      <w:r>
        <w:rPr>
          <w:rFonts w:hint="eastAsia"/>
          <w:color w:val="000000"/>
          <w:sz w:val="24"/>
          <w:szCs w:val="24"/>
        </w:rPr>
        <w:t xml:space="preserve">），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①队伍介绍，主要包括成员介绍，以前的参赛介绍等，既可以提交一个 </w:t>
      </w:r>
      <w:r>
        <w:rPr>
          <w:rFonts w:ascii="Cambria" w:hAnsi="Cambria"/>
          <w:color w:val="000000"/>
          <w:sz w:val="24"/>
          <w:szCs w:val="24"/>
        </w:rPr>
        <w:t xml:space="preserve">word </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 xml:space="preserve">倍行距，应尽量保证排版美观且不少于 </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 xml:space="preserve">以下），主要内容为机器人完成比赛的完整演示，时长应在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③机器人介绍相关材料，</w:t>
      </w: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 xml:space="preserve">。最终提交一个不少于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 xml:space="preserve">年） 参加中国自动化学会组织的中国机器人大赛武术擂台赛项目的获奖情况说明文档，同时需提供相应证明材料（例如：获奖证书图片（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ascii="Cambria" w:hAnsi="Cambria"/>
          <w:color w:val="FF0000"/>
          <w:sz w:val="24"/>
          <w:szCs w:val="24"/>
        </w:rPr>
        <w:t xml:space="preserve">10--50 </w:t>
      </w:r>
      <w:r>
        <w:rPr>
          <w:rFonts w:hint="eastAsia"/>
          <w:color w:val="FF0000"/>
          <w:sz w:val="24"/>
          <w:szCs w:val="24"/>
        </w:rPr>
        <w:t>分（ 视情况由技术委员会讨论决定）。</w:t>
      </w: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资格认证材料由武术擂台赛技术委员会进行评分并排序；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1</w:t>
      </w:r>
      <w:r>
        <w:rPr>
          <w:rFonts w:hint="eastAsia"/>
          <w:color w:val="000000"/>
          <w:sz w:val="24"/>
          <w:szCs w:val="24"/>
        </w:rPr>
        <w:t>）对于必须提交材料：此项材料</w:t>
      </w:r>
      <w:r>
        <w:rPr>
          <w:rFonts w:hint="eastAsia"/>
          <w:color w:val="FF0000"/>
          <w:sz w:val="24"/>
          <w:szCs w:val="24"/>
        </w:rPr>
        <w:t>不计分</w:t>
      </w:r>
      <w:r>
        <w:rPr>
          <w:rFonts w:hint="eastAsia"/>
          <w:color w:val="000000"/>
          <w:sz w:val="24"/>
          <w:szCs w:val="24"/>
        </w:rPr>
        <w:t>，如果不提交此项材料，直接取消比赛资格；如果提交的材料不合要求，从资格认证总分中</w:t>
      </w:r>
      <w:r>
        <w:rPr>
          <w:rFonts w:hint="eastAsia"/>
          <w:color w:val="FF0000"/>
          <w:sz w:val="24"/>
          <w:szCs w:val="24"/>
        </w:rPr>
        <w:t>扣除</w:t>
      </w:r>
      <w:r>
        <w:rPr>
          <w:rFonts w:hint="eastAsia"/>
          <w:color w:val="000000"/>
          <w:sz w:val="24"/>
          <w:szCs w:val="24"/>
        </w:rPr>
        <w:t>相应分数，不提交队伍介绍扣1</w:t>
      </w:r>
      <w:r>
        <w:rPr>
          <w:color w:val="000000"/>
          <w:sz w:val="24"/>
          <w:szCs w:val="24"/>
        </w:rPr>
        <w:t>0</w:t>
      </w:r>
      <w:r>
        <w:rPr>
          <w:rFonts w:hint="eastAsia"/>
          <w:color w:val="000000"/>
          <w:sz w:val="24"/>
          <w:szCs w:val="24"/>
        </w:rPr>
        <w:t>分，不提交视频扣2</w:t>
      </w:r>
      <w:r>
        <w:rPr>
          <w:color w:val="000000"/>
          <w:sz w:val="24"/>
          <w:szCs w:val="24"/>
        </w:rPr>
        <w:t>0</w:t>
      </w:r>
      <w:r>
        <w:rPr>
          <w:rFonts w:hint="eastAsia"/>
          <w:color w:val="000000"/>
          <w:sz w:val="24"/>
          <w:szCs w:val="24"/>
        </w:rPr>
        <w:t>分，不提交机器人介绍相关资料扣1</w:t>
      </w:r>
      <w:r>
        <w:rPr>
          <w:color w:val="000000"/>
          <w:sz w:val="24"/>
          <w:szCs w:val="24"/>
        </w:rPr>
        <w:t>5</w:t>
      </w:r>
      <w:r>
        <w:rPr>
          <w:rFonts w:hint="eastAsia"/>
          <w:color w:val="000000"/>
          <w:sz w:val="24"/>
          <w:szCs w:val="24"/>
        </w:rPr>
        <w:t>分，如果提交材料不符合要求酌情扣分。</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2</w:t>
      </w:r>
      <w:r>
        <w:rPr>
          <w:rFonts w:hint="eastAsia"/>
          <w:color w:val="000000"/>
          <w:sz w:val="24"/>
          <w:szCs w:val="24"/>
        </w:rPr>
        <w:t>）对于过往参赛证明材料： 一项一等奖</w:t>
      </w:r>
      <w:r>
        <w:rPr>
          <w:color w:val="000000"/>
          <w:sz w:val="24"/>
          <w:szCs w:val="24"/>
        </w:rPr>
        <w:t>15</w:t>
      </w:r>
      <w:r>
        <w:rPr>
          <w:rFonts w:ascii="Cambria" w:hAnsi="Cambria"/>
          <w:color w:val="000000"/>
          <w:sz w:val="24"/>
          <w:szCs w:val="24"/>
        </w:rPr>
        <w:t xml:space="preserve"> </w:t>
      </w:r>
      <w:r>
        <w:rPr>
          <w:rFonts w:hint="eastAsia"/>
          <w:color w:val="000000"/>
          <w:sz w:val="24"/>
          <w:szCs w:val="24"/>
        </w:rPr>
        <w:t xml:space="preserve">分，一项二等奖 </w:t>
      </w:r>
      <w:r>
        <w:rPr>
          <w:rFonts w:ascii="Cambria" w:hAnsi="Cambria"/>
          <w:color w:val="000000"/>
          <w:sz w:val="24"/>
          <w:szCs w:val="24"/>
        </w:rPr>
        <w:t xml:space="preserve">10 </w:t>
      </w:r>
      <w:r>
        <w:rPr>
          <w:rFonts w:hint="eastAsia"/>
          <w:color w:val="000000"/>
          <w:sz w:val="24"/>
          <w:szCs w:val="24"/>
        </w:rPr>
        <w:t xml:space="preserve">分，一项三等奖 </w:t>
      </w:r>
      <w:r>
        <w:rPr>
          <w:rFonts w:ascii="Cambria" w:hAnsi="Cambria"/>
          <w:color w:val="000000"/>
          <w:sz w:val="24"/>
          <w:szCs w:val="24"/>
        </w:rPr>
        <w:t xml:space="preserve">5 </w:t>
      </w:r>
      <w:r>
        <w:rPr>
          <w:rFonts w:hint="eastAsia"/>
          <w:color w:val="000000"/>
          <w:sz w:val="24"/>
          <w:szCs w:val="24"/>
        </w:rPr>
        <w:t xml:space="preserve">分（注：单项奖5分）。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w:t>
      </w:r>
      <w:r>
        <w:rPr>
          <w:rFonts w:ascii="Cambria" w:hAnsi="Cambria"/>
          <w:color w:val="000000"/>
          <w:sz w:val="24"/>
          <w:szCs w:val="24"/>
        </w:rPr>
        <w:t>3</w:t>
      </w:r>
      <w:r>
        <w:rPr>
          <w:rFonts w:hint="eastAsia"/>
          <w:color w:val="000000"/>
          <w:sz w:val="24"/>
          <w:szCs w:val="24"/>
        </w:rPr>
        <w:t xml:space="preserve">）对于贡献证明材料：与智能机器人相关的1篇论文、1项发明专利授权得 </w:t>
      </w:r>
      <w:r>
        <w:rPr>
          <w:rFonts w:ascii="Cambria" w:hAnsi="Cambria"/>
          <w:color w:val="000000"/>
          <w:sz w:val="24"/>
          <w:szCs w:val="24"/>
        </w:rPr>
        <w:t xml:space="preserve">15 </w:t>
      </w:r>
      <w:r>
        <w:rPr>
          <w:rFonts w:hint="eastAsia"/>
          <w:color w:val="000000"/>
          <w:sz w:val="24"/>
          <w:szCs w:val="24"/>
        </w:rPr>
        <w:t xml:space="preserve">分，1项发明专利申请受理、1项软件著作权、 1项实用新型专利授权得 </w:t>
      </w:r>
      <w:r>
        <w:rPr>
          <w:rFonts w:ascii="Cambria" w:hAnsi="Cambria"/>
          <w:color w:val="000000"/>
          <w:sz w:val="24"/>
          <w:szCs w:val="24"/>
        </w:rPr>
        <w:t>10</w:t>
      </w:r>
      <w:r>
        <w:rPr>
          <w:rFonts w:hint="eastAsia" w:ascii="Cambria" w:hAnsi="Cambria"/>
          <w:color w:val="000000"/>
          <w:sz w:val="24"/>
          <w:szCs w:val="24"/>
        </w:rPr>
        <w:t>分。</w:t>
      </w: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 xml:space="preserve">XX </w:t>
      </w:r>
      <w:r>
        <w:rPr>
          <w:rFonts w:hint="eastAsia"/>
          <w:color w:val="FF0000"/>
          <w:sz w:val="24"/>
          <w:szCs w:val="24"/>
        </w:rPr>
        <w:t>单位XX项目（小项）XX队伍资格认证材料；压缩包内包括三个文件夹，分别命名为第一部分，第二部分和第三部分，里面存放对应材料，如果没有某部分材料，对应文件夹内放置一份情况说明文档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rPr>
          <w:color w:val="FF0000"/>
          <w:sz w:val="24"/>
          <w:szCs w:val="24"/>
        </w:rPr>
      </w:pPr>
      <w:r>
        <w:rPr>
          <w:rFonts w:hint="eastAsia"/>
          <w:color w:val="FF0000"/>
          <w:sz w:val="24"/>
          <w:szCs w:val="24"/>
        </w:rPr>
        <w:t>注 4：每队上传的资格认证材料严格控制在20M以内。</w:t>
      </w:r>
    </w:p>
    <w:p>
      <w:pPr>
        <w:adjustRightInd w:val="0"/>
        <w:snapToGrid w:val="0"/>
        <w:spacing w:line="360" w:lineRule="auto"/>
        <w:rPr>
          <w:color w:val="FF0000"/>
          <w:sz w:val="24"/>
          <w:szCs w:val="24"/>
        </w:rPr>
      </w:pPr>
      <w:r>
        <w:rPr>
          <w:rFonts w:hint="eastAsia"/>
          <w:color w:val="FF0000"/>
          <w:sz w:val="24"/>
          <w:szCs w:val="24"/>
        </w:rPr>
        <w:t>注 5：在比赛期间对比赛做出一定贡献的，在下一次资格认证时给相应队伍加</w:t>
      </w:r>
      <w:r>
        <w:rPr>
          <w:color w:val="FF0000"/>
          <w:sz w:val="24"/>
          <w:szCs w:val="24"/>
        </w:rPr>
        <w:t>15</w:t>
      </w:r>
      <w:r>
        <w:rPr>
          <w:rFonts w:hint="eastAsia"/>
          <w:color w:val="FF0000"/>
          <w:sz w:val="24"/>
          <w:szCs w:val="24"/>
        </w:rPr>
        <w:t>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07060"/>
    <w:rsid w:val="000105E9"/>
    <w:rsid w:val="000117C1"/>
    <w:rsid w:val="00014A9B"/>
    <w:rsid w:val="00017F41"/>
    <w:rsid w:val="00045EBD"/>
    <w:rsid w:val="00062BB6"/>
    <w:rsid w:val="00085A7D"/>
    <w:rsid w:val="00087243"/>
    <w:rsid w:val="00087E52"/>
    <w:rsid w:val="000958B0"/>
    <w:rsid w:val="000A01C8"/>
    <w:rsid w:val="000A420E"/>
    <w:rsid w:val="000D6129"/>
    <w:rsid w:val="000D6EA8"/>
    <w:rsid w:val="00112F42"/>
    <w:rsid w:val="001178FC"/>
    <w:rsid w:val="001216CF"/>
    <w:rsid w:val="001340EF"/>
    <w:rsid w:val="00140C77"/>
    <w:rsid w:val="001459D4"/>
    <w:rsid w:val="00145F2A"/>
    <w:rsid w:val="001638E6"/>
    <w:rsid w:val="001E582D"/>
    <w:rsid w:val="00205FDB"/>
    <w:rsid w:val="002211E5"/>
    <w:rsid w:val="00275BEE"/>
    <w:rsid w:val="00285FCD"/>
    <w:rsid w:val="002B6069"/>
    <w:rsid w:val="002D45AB"/>
    <w:rsid w:val="002F1BBF"/>
    <w:rsid w:val="002F3918"/>
    <w:rsid w:val="00310D22"/>
    <w:rsid w:val="00331C44"/>
    <w:rsid w:val="00344D54"/>
    <w:rsid w:val="00345B0F"/>
    <w:rsid w:val="00370CD2"/>
    <w:rsid w:val="0037427D"/>
    <w:rsid w:val="00393C9C"/>
    <w:rsid w:val="0039491A"/>
    <w:rsid w:val="00396622"/>
    <w:rsid w:val="003A13DF"/>
    <w:rsid w:val="003F61FF"/>
    <w:rsid w:val="00425199"/>
    <w:rsid w:val="00461E05"/>
    <w:rsid w:val="0047653F"/>
    <w:rsid w:val="0048130C"/>
    <w:rsid w:val="004A2139"/>
    <w:rsid w:val="004B067F"/>
    <w:rsid w:val="004D2822"/>
    <w:rsid w:val="004E415E"/>
    <w:rsid w:val="004E60E4"/>
    <w:rsid w:val="004F4074"/>
    <w:rsid w:val="00511B39"/>
    <w:rsid w:val="00516428"/>
    <w:rsid w:val="00520268"/>
    <w:rsid w:val="005377C9"/>
    <w:rsid w:val="00564511"/>
    <w:rsid w:val="00564ADF"/>
    <w:rsid w:val="00566B38"/>
    <w:rsid w:val="005B4DFF"/>
    <w:rsid w:val="005B5850"/>
    <w:rsid w:val="005B592E"/>
    <w:rsid w:val="00621A11"/>
    <w:rsid w:val="006460B8"/>
    <w:rsid w:val="006466DB"/>
    <w:rsid w:val="00664828"/>
    <w:rsid w:val="006803E7"/>
    <w:rsid w:val="0068611A"/>
    <w:rsid w:val="00696E61"/>
    <w:rsid w:val="006A0836"/>
    <w:rsid w:val="006A2540"/>
    <w:rsid w:val="006B265C"/>
    <w:rsid w:val="006B4443"/>
    <w:rsid w:val="006E01CB"/>
    <w:rsid w:val="006F7174"/>
    <w:rsid w:val="0071568D"/>
    <w:rsid w:val="007346C8"/>
    <w:rsid w:val="00740F40"/>
    <w:rsid w:val="00756E68"/>
    <w:rsid w:val="00763C29"/>
    <w:rsid w:val="00773D5D"/>
    <w:rsid w:val="00784493"/>
    <w:rsid w:val="007B08E5"/>
    <w:rsid w:val="007B317A"/>
    <w:rsid w:val="007C35BC"/>
    <w:rsid w:val="00800E1C"/>
    <w:rsid w:val="0082524D"/>
    <w:rsid w:val="008A4C87"/>
    <w:rsid w:val="008F3F10"/>
    <w:rsid w:val="008F405B"/>
    <w:rsid w:val="009062C5"/>
    <w:rsid w:val="00913108"/>
    <w:rsid w:val="00954724"/>
    <w:rsid w:val="00960178"/>
    <w:rsid w:val="00962C6A"/>
    <w:rsid w:val="0097418F"/>
    <w:rsid w:val="009B641E"/>
    <w:rsid w:val="009C395C"/>
    <w:rsid w:val="009F40FB"/>
    <w:rsid w:val="009F55D2"/>
    <w:rsid w:val="009F693B"/>
    <w:rsid w:val="00A00938"/>
    <w:rsid w:val="00A12BE4"/>
    <w:rsid w:val="00A23226"/>
    <w:rsid w:val="00A432A3"/>
    <w:rsid w:val="00A6148F"/>
    <w:rsid w:val="00A77A4D"/>
    <w:rsid w:val="00A8491E"/>
    <w:rsid w:val="00A84B40"/>
    <w:rsid w:val="00AD7A79"/>
    <w:rsid w:val="00AE5F81"/>
    <w:rsid w:val="00AF4840"/>
    <w:rsid w:val="00AF781B"/>
    <w:rsid w:val="00B00583"/>
    <w:rsid w:val="00B57A6A"/>
    <w:rsid w:val="00B80BC9"/>
    <w:rsid w:val="00B849C3"/>
    <w:rsid w:val="00BB1234"/>
    <w:rsid w:val="00BB4E29"/>
    <w:rsid w:val="00BC1939"/>
    <w:rsid w:val="00BC476B"/>
    <w:rsid w:val="00BC4BC0"/>
    <w:rsid w:val="00BD2332"/>
    <w:rsid w:val="00BF416C"/>
    <w:rsid w:val="00C02A64"/>
    <w:rsid w:val="00C03943"/>
    <w:rsid w:val="00C06077"/>
    <w:rsid w:val="00C16E67"/>
    <w:rsid w:val="00C47838"/>
    <w:rsid w:val="00C516D1"/>
    <w:rsid w:val="00C55D47"/>
    <w:rsid w:val="00C71354"/>
    <w:rsid w:val="00C84F79"/>
    <w:rsid w:val="00C86478"/>
    <w:rsid w:val="00CC4283"/>
    <w:rsid w:val="00CD1E62"/>
    <w:rsid w:val="00CD591B"/>
    <w:rsid w:val="00CD6179"/>
    <w:rsid w:val="00D15EC5"/>
    <w:rsid w:val="00D16B50"/>
    <w:rsid w:val="00D37908"/>
    <w:rsid w:val="00D50046"/>
    <w:rsid w:val="00D54273"/>
    <w:rsid w:val="00D568F1"/>
    <w:rsid w:val="00D70B27"/>
    <w:rsid w:val="00D819DF"/>
    <w:rsid w:val="00D956AA"/>
    <w:rsid w:val="00D96DAF"/>
    <w:rsid w:val="00DC67C3"/>
    <w:rsid w:val="00DD0C43"/>
    <w:rsid w:val="00E3170B"/>
    <w:rsid w:val="00E501BB"/>
    <w:rsid w:val="00E770DE"/>
    <w:rsid w:val="00E855C5"/>
    <w:rsid w:val="00E86238"/>
    <w:rsid w:val="00E90883"/>
    <w:rsid w:val="00ED39A5"/>
    <w:rsid w:val="00EF1205"/>
    <w:rsid w:val="00F01E3D"/>
    <w:rsid w:val="00F021EE"/>
    <w:rsid w:val="00F02E0C"/>
    <w:rsid w:val="00F06CFC"/>
    <w:rsid w:val="00F102B0"/>
    <w:rsid w:val="00F26A8A"/>
    <w:rsid w:val="00F472CD"/>
    <w:rsid w:val="00F55EC2"/>
    <w:rsid w:val="00F608CF"/>
    <w:rsid w:val="00F622B4"/>
    <w:rsid w:val="00F636CC"/>
    <w:rsid w:val="00F7161C"/>
    <w:rsid w:val="00FA6025"/>
    <w:rsid w:val="00FB0690"/>
    <w:rsid w:val="00FB562A"/>
    <w:rsid w:val="00FE339E"/>
    <w:rsid w:val="00FE5EFC"/>
    <w:rsid w:val="00FF335B"/>
    <w:rsid w:val="7BCDB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1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Date"/>
    <w:basedOn w:val="1"/>
    <w:next w:val="1"/>
    <w:link w:val="11"/>
    <w:unhideWhenUsed/>
    <w:qFormat/>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3 字符"/>
    <w:basedOn w:val="7"/>
    <w:link w:val="2"/>
    <w:qFormat/>
    <w:uiPriority w:val="9"/>
    <w:rPr>
      <w:b/>
      <w:bCs/>
      <w:sz w:val="32"/>
      <w:szCs w:val="32"/>
    </w:rPr>
  </w:style>
  <w:style w:type="character" w:customStyle="1" w:styleId="10">
    <w:name w:val="标题 4 字符"/>
    <w:basedOn w:val="7"/>
    <w:link w:val="3"/>
    <w:qFormat/>
    <w:uiPriority w:val="9"/>
    <w:rPr>
      <w:rFonts w:asciiTheme="majorHAnsi" w:hAnsiTheme="majorHAnsi" w:eastAsiaTheme="majorEastAsia" w:cstheme="majorBidi"/>
      <w:b/>
      <w:bCs/>
      <w:sz w:val="28"/>
      <w:szCs w:val="28"/>
    </w:rPr>
  </w:style>
  <w:style w:type="character" w:customStyle="1" w:styleId="11">
    <w:name w:val="日期 字符"/>
    <w:basedOn w:val="7"/>
    <w:link w:val="4"/>
    <w:semiHidden/>
    <w:qFormat/>
    <w:uiPriority w:val="99"/>
  </w:style>
  <w:style w:type="character" w:customStyle="1" w:styleId="12">
    <w:name w:val="页眉 字符"/>
    <w:basedOn w:val="7"/>
    <w:link w:val="6"/>
    <w:qFormat/>
    <w:uiPriority w:val="99"/>
    <w:rPr>
      <w:sz w:val="18"/>
      <w:szCs w:val="18"/>
    </w:rPr>
  </w:style>
  <w:style w:type="character" w:customStyle="1" w:styleId="13">
    <w:name w:val="页脚 字符"/>
    <w:basedOn w:val="7"/>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287</Words>
  <Characters>1641</Characters>
  <Lines>13</Lines>
  <Paragraphs>3</Paragraphs>
  <TotalTime>0</TotalTime>
  <ScaleCrop>false</ScaleCrop>
  <LinksUpToDate>false</LinksUpToDate>
  <CharactersWithSpaces>1925</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2020-09-20T12:00:00Z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